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77BE4DB5" w:rsidR="001E5E43" w:rsidRPr="00B80316" w:rsidRDefault="003C45B7" w:rsidP="00404438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B80316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67109923">
            <wp:extent cx="1825355" cy="1242646"/>
            <wp:effectExtent l="0" t="0" r="3810" b="254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38" cy="152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7B8AC" w14:textId="12EEE55A" w:rsidR="00F245A5" w:rsidRPr="00B80316" w:rsidRDefault="00F245A5" w:rsidP="0040443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7D5E5FDD" w14:textId="77777777" w:rsidR="00404438" w:rsidRPr="00C7589B" w:rsidRDefault="00404438" w:rsidP="00404438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C7589B">
        <w:rPr>
          <w:rFonts w:ascii="Garamond" w:hAnsi="Garamond"/>
          <w:b/>
          <w:sz w:val="23"/>
          <w:szCs w:val="23"/>
          <w:lang w:val="es-ES" w:eastAsia="es"/>
        </w:rPr>
        <w:t>21 de julio de 2024 – Pentecostés 9 (B)</w:t>
      </w:r>
    </w:p>
    <w:p w14:paraId="2890A0BD" w14:textId="77777777" w:rsidR="00404438" w:rsidRPr="00C7589B" w:rsidRDefault="00404438" w:rsidP="00404438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C7589B">
        <w:rPr>
          <w:rFonts w:ascii="Garamond" w:hAnsi="Garamond"/>
          <w:b/>
          <w:sz w:val="23"/>
          <w:szCs w:val="23"/>
          <w:lang w:val="es-ES" w:eastAsia="es"/>
        </w:rPr>
        <w:t>Su Guía sobre la DFMS, Parte 8</w:t>
      </w:r>
    </w:p>
    <w:p w14:paraId="4F734B73" w14:textId="77777777" w:rsidR="00404438" w:rsidRPr="00C7589B" w:rsidRDefault="00404438" w:rsidP="00404438">
      <w:pPr>
        <w:spacing w:after="0" w:line="240" w:lineRule="auto"/>
        <w:rPr>
          <w:rFonts w:ascii="Garamond" w:hAnsi="Garamond"/>
          <w:bCs/>
          <w:sz w:val="23"/>
          <w:szCs w:val="23"/>
          <w:lang w:val="es-ES" w:eastAsia="es"/>
        </w:rPr>
      </w:pPr>
    </w:p>
    <w:p w14:paraId="15225DFC" w14:textId="77777777" w:rsidR="00404438" w:rsidRPr="00C7589B" w:rsidRDefault="00404438" w:rsidP="00404438">
      <w:pPr>
        <w:spacing w:after="0" w:line="240" w:lineRule="auto"/>
        <w:rPr>
          <w:rFonts w:ascii="Garamond" w:hAnsi="Garamond"/>
          <w:bCs/>
          <w:i/>
          <w:iCs/>
          <w:sz w:val="23"/>
          <w:szCs w:val="23"/>
          <w:lang w:val="es-ES" w:eastAsia="es"/>
        </w:rPr>
      </w:pPr>
      <w:r w:rsidRPr="00C7589B">
        <w:rPr>
          <w:rFonts w:ascii="Garamond" w:hAnsi="Garamond"/>
          <w:bCs/>
          <w:i/>
          <w:iCs/>
          <w:sz w:val="23"/>
          <w:szCs w:val="23"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iam.ec/tecguide.</w:t>
      </w:r>
    </w:p>
    <w:p w14:paraId="627C52E7" w14:textId="77777777" w:rsidR="00404438" w:rsidRPr="00C7589B" w:rsidRDefault="00404438" w:rsidP="00404438">
      <w:pPr>
        <w:spacing w:after="0" w:line="240" w:lineRule="auto"/>
        <w:rPr>
          <w:rFonts w:ascii="Garamond" w:hAnsi="Garamond"/>
          <w:bCs/>
          <w:sz w:val="23"/>
          <w:szCs w:val="23"/>
          <w:lang w:val="es-ES" w:eastAsia="es"/>
        </w:rPr>
      </w:pPr>
    </w:p>
    <w:p w14:paraId="56855743" w14:textId="3941AFB5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C7589B">
        <w:rPr>
          <w:rFonts w:ascii="Garamond" w:hAnsi="Garamond"/>
          <w:noProof/>
          <w:sz w:val="23"/>
          <w:szCs w:val="23"/>
          <w:lang w:val="es-ES" w:eastAsia="es"/>
        </w:rPr>
        <w:drawing>
          <wp:anchor distT="0" distB="0" distL="114300" distR="114300" simplePos="0" relativeHeight="251659264" behindDoc="0" locked="0" layoutInCell="1" allowOverlap="1" wp14:anchorId="43D86891" wp14:editId="5C8BB7BC">
            <wp:simplePos x="0" y="0"/>
            <wp:positionH relativeFrom="column">
              <wp:posOffset>2812708</wp:posOffset>
            </wp:positionH>
            <wp:positionV relativeFrom="paragraph">
              <wp:posOffset>45476</wp:posOffset>
            </wp:positionV>
            <wp:extent cx="1143000" cy="1143000"/>
            <wp:effectExtent l="0" t="0" r="0" b="0"/>
            <wp:wrapSquare wrapText="bothSides"/>
            <wp:docPr id="1292485176" name="Picture 1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85176" name="Picture 1" descr="A qr code on a red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La Oficina de Relaciones Gubernamentales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(OGR, por sus siglas en inglés) representa las prioridades políticas de la Iglesia Episcopal ante el gobierno federal de Estados Unidos en Washington, D.C., destacando las voces de los episcopales y anglicanos en todo el mundo. La OGR gestiona la Red Episcopal de Políticas Públicas, una red de base de episcopales comprometidos con el ministerio de defensa de políticas públicas.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54717C08" w14:textId="75AE42B2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 xml:space="preserve">Inste </w:t>
      </w:r>
      <w:r w:rsidRPr="001C3440">
        <w:rPr>
          <w:rFonts w:ascii="Garamond" w:hAnsi="Garamond" w:cs="Segoe UI"/>
          <w:sz w:val="23"/>
          <w:szCs w:val="23"/>
          <w:lang w:val="es-ES"/>
        </w:rPr>
        <w:t>a los miembros del Congreso y más al tomar medidas con las Alertas de Acción de nuestra red de políticas todas las semanas.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20B01ED1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Obtenga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información actualizada sobre las políticas y la legislación de Estados Unidos asistiendo a uno de nuestros eventos gratuitos en línea.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1F9AFE96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Participe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en las elecciones de Estados Unidos trabajando como voluntario en nuestra oficina como Activador Electoral.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18257EFC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Vaya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más a fondo perfeccionando sus conocimientos y los de su comunidad en materia de defensa política y diálogo utilizando nuestros recursos de formación.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08346393" w14:textId="77777777" w:rsidR="00404438" w:rsidRDefault="00404438" w:rsidP="00404438">
      <w:pPr>
        <w:spacing w:after="0" w:line="240" w:lineRule="auto"/>
        <w:textAlignment w:val="baseline"/>
        <w:rPr>
          <w:rFonts w:ascii="Garamond" w:hAnsi="Garamond" w:cs="Segoe UI"/>
          <w:b/>
          <w:bCs/>
          <w:sz w:val="23"/>
          <w:szCs w:val="23"/>
          <w:lang w:val="es-ES"/>
        </w:rPr>
      </w:pPr>
    </w:p>
    <w:p w14:paraId="2E387D5C" w14:textId="77777777" w:rsidR="00404438" w:rsidRPr="00B80316" w:rsidRDefault="00404438" w:rsidP="00404438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B80316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6E3C8858" wp14:editId="234799AC">
            <wp:extent cx="1825355" cy="1242646"/>
            <wp:effectExtent l="0" t="0" r="3810" b="2540"/>
            <wp:docPr id="204104665" name="Picture 20410466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38" cy="152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DF4F5" w14:textId="77777777" w:rsidR="00404438" w:rsidRPr="00B80316" w:rsidRDefault="00404438" w:rsidP="0040443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61B403C" w14:textId="77777777" w:rsidR="00404438" w:rsidRPr="00C7589B" w:rsidRDefault="00404438" w:rsidP="00404438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C7589B">
        <w:rPr>
          <w:rFonts w:ascii="Garamond" w:hAnsi="Garamond"/>
          <w:b/>
          <w:sz w:val="23"/>
          <w:szCs w:val="23"/>
          <w:lang w:val="es-ES" w:eastAsia="es"/>
        </w:rPr>
        <w:t>21 de julio de 2024 – Pentecostés 9 (B)</w:t>
      </w:r>
    </w:p>
    <w:p w14:paraId="7E7C007B" w14:textId="77777777" w:rsidR="00404438" w:rsidRPr="00C7589B" w:rsidRDefault="00404438" w:rsidP="00404438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C7589B">
        <w:rPr>
          <w:rFonts w:ascii="Garamond" w:hAnsi="Garamond"/>
          <w:b/>
          <w:sz w:val="23"/>
          <w:szCs w:val="23"/>
          <w:lang w:val="es-ES" w:eastAsia="es"/>
        </w:rPr>
        <w:t>Su Guía sobre la DFMS, Parte 8</w:t>
      </w:r>
    </w:p>
    <w:p w14:paraId="762B61D8" w14:textId="77777777" w:rsidR="00404438" w:rsidRPr="00C7589B" w:rsidRDefault="00404438" w:rsidP="00404438">
      <w:pPr>
        <w:spacing w:after="0" w:line="240" w:lineRule="auto"/>
        <w:rPr>
          <w:rFonts w:ascii="Garamond" w:hAnsi="Garamond"/>
          <w:bCs/>
          <w:sz w:val="23"/>
          <w:szCs w:val="23"/>
          <w:lang w:val="es-ES" w:eastAsia="es"/>
        </w:rPr>
      </w:pPr>
    </w:p>
    <w:p w14:paraId="7955A2B6" w14:textId="77777777" w:rsidR="00404438" w:rsidRPr="00C7589B" w:rsidRDefault="00404438" w:rsidP="00404438">
      <w:pPr>
        <w:spacing w:after="0" w:line="240" w:lineRule="auto"/>
        <w:rPr>
          <w:rFonts w:ascii="Garamond" w:hAnsi="Garamond"/>
          <w:bCs/>
          <w:i/>
          <w:iCs/>
          <w:sz w:val="23"/>
          <w:szCs w:val="23"/>
          <w:lang w:val="es-ES" w:eastAsia="es"/>
        </w:rPr>
      </w:pPr>
      <w:r w:rsidRPr="00C7589B">
        <w:rPr>
          <w:rFonts w:ascii="Garamond" w:hAnsi="Garamond"/>
          <w:bCs/>
          <w:i/>
          <w:iCs/>
          <w:sz w:val="23"/>
          <w:szCs w:val="23"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iam.ec/tecguide.</w:t>
      </w:r>
    </w:p>
    <w:p w14:paraId="65501B13" w14:textId="77777777" w:rsidR="00404438" w:rsidRPr="00C7589B" w:rsidRDefault="00404438" w:rsidP="00404438">
      <w:pPr>
        <w:spacing w:after="0" w:line="240" w:lineRule="auto"/>
        <w:rPr>
          <w:rFonts w:ascii="Garamond" w:hAnsi="Garamond"/>
          <w:bCs/>
          <w:sz w:val="23"/>
          <w:szCs w:val="23"/>
          <w:lang w:val="es-ES" w:eastAsia="es"/>
        </w:rPr>
      </w:pPr>
    </w:p>
    <w:p w14:paraId="4D2B8497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C7589B">
        <w:rPr>
          <w:rFonts w:ascii="Garamond" w:hAnsi="Garamond"/>
          <w:noProof/>
          <w:sz w:val="23"/>
          <w:szCs w:val="23"/>
          <w:lang w:val="es-ES" w:eastAsia="es"/>
        </w:rPr>
        <w:drawing>
          <wp:anchor distT="0" distB="0" distL="114300" distR="114300" simplePos="0" relativeHeight="251663360" behindDoc="0" locked="0" layoutInCell="1" allowOverlap="1" wp14:anchorId="0CDF1F26" wp14:editId="66BAA91A">
            <wp:simplePos x="0" y="0"/>
            <wp:positionH relativeFrom="column">
              <wp:posOffset>2812708</wp:posOffset>
            </wp:positionH>
            <wp:positionV relativeFrom="paragraph">
              <wp:posOffset>45476</wp:posOffset>
            </wp:positionV>
            <wp:extent cx="1143000" cy="1143000"/>
            <wp:effectExtent l="0" t="0" r="0" b="0"/>
            <wp:wrapSquare wrapText="bothSides"/>
            <wp:docPr id="821261946" name="Picture 1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85176" name="Picture 1" descr="A qr code on a red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La Oficina de Relaciones Gubernamentales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(OGR, por sus siglas en inglés) representa las prioridades políticas de la Iglesia Episcopal ante el gobierno federal de Estados Unidos en Washington, D.C., destacando las voces de los episcopales y anglicanos en todo el mundo. La OGR gestiona la Red Episcopal de Políticas Públicas, una red de base de episcopales comprometidos con el ministerio de defensa de políticas públicas.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198A62C9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 xml:space="preserve">Inste </w:t>
      </w:r>
      <w:r w:rsidRPr="001C3440">
        <w:rPr>
          <w:rFonts w:ascii="Garamond" w:hAnsi="Garamond" w:cs="Segoe UI"/>
          <w:sz w:val="23"/>
          <w:szCs w:val="23"/>
          <w:lang w:val="es-ES"/>
        </w:rPr>
        <w:t>a los miembros del Congreso y más al tomar medidas con las Alertas de Acción de nuestra red de políticas todas las semanas.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6CFC68E5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Obtenga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información actualizada sobre las políticas y la legislación de Estados Unidos asistiendo a uno de nuestros eventos gratuitos en línea.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2A511C05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Participe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en las elecciones de Estados Unidos trabajando como voluntario en nuestra oficina como Activador Electoral.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04ACA4D7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Vaya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más a fondo perfeccionando sus conocimientos y los de su comunidad en materia de defensa política y diálogo utilizando nuestros recursos de formación.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1CBA32B8" w14:textId="77777777" w:rsidR="00404438" w:rsidRDefault="00404438" w:rsidP="00404438">
      <w:pPr>
        <w:spacing w:after="0" w:line="240" w:lineRule="auto"/>
        <w:textAlignment w:val="baseline"/>
        <w:rPr>
          <w:rFonts w:ascii="Garamond" w:hAnsi="Garamond" w:cs="Segoe UI"/>
          <w:b/>
          <w:bCs/>
          <w:sz w:val="23"/>
          <w:szCs w:val="23"/>
          <w:lang w:val="es-ES"/>
        </w:rPr>
      </w:pPr>
    </w:p>
    <w:p w14:paraId="71854FC1" w14:textId="5CDCC68F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lastRenderedPageBreak/>
        <w:t>Realice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prácticas en la Oficina de Relaciones Gubernamentales, que funciona durante tres ciclos al año, colaborando</w:t>
      </w: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 xml:space="preserve"> con </w:t>
      </w:r>
      <w:r w:rsidRPr="001C3440">
        <w:rPr>
          <w:rFonts w:ascii="Garamond" w:hAnsi="Garamond" w:cs="Segoe UI"/>
          <w:sz w:val="23"/>
          <w:szCs w:val="23"/>
          <w:lang w:val="es-ES"/>
        </w:rPr>
        <w:t>nuestros esfuerzos por dar forma a la política estadounidense e influir en ella.</w:t>
      </w: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 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77ABCAF1" w14:textId="77777777" w:rsidR="00404438" w:rsidRDefault="00404438" w:rsidP="00404438">
      <w:pPr>
        <w:spacing w:after="0" w:line="240" w:lineRule="auto"/>
        <w:textAlignment w:val="baseline"/>
        <w:rPr>
          <w:rFonts w:ascii="Garamond" w:hAnsi="Garamond"/>
          <w:b/>
          <w:bCs/>
          <w:noProof/>
          <w:sz w:val="23"/>
          <w:szCs w:val="23"/>
          <w:lang w:val="es-ES" w:eastAsia="es"/>
        </w:rPr>
      </w:pPr>
    </w:p>
    <w:p w14:paraId="2BBC4D41" w14:textId="02CFC456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C7589B">
        <w:rPr>
          <w:rFonts w:ascii="Garamond" w:hAnsi="Garamond"/>
          <w:noProof/>
          <w:sz w:val="23"/>
          <w:szCs w:val="23"/>
          <w:lang w:val="es-ES" w:eastAsia="es"/>
        </w:rPr>
        <w:drawing>
          <wp:anchor distT="0" distB="0" distL="114300" distR="114300" simplePos="0" relativeHeight="251660288" behindDoc="0" locked="0" layoutInCell="1" allowOverlap="1" wp14:anchorId="3A1228DC" wp14:editId="43116032">
            <wp:simplePos x="0" y="0"/>
            <wp:positionH relativeFrom="column">
              <wp:posOffset>2792730</wp:posOffset>
            </wp:positionH>
            <wp:positionV relativeFrom="paragraph">
              <wp:posOffset>29845</wp:posOffset>
            </wp:positionV>
            <wp:extent cx="1143000" cy="1143000"/>
            <wp:effectExtent l="0" t="0" r="0" b="0"/>
            <wp:wrapSquare wrapText="bothSides"/>
            <wp:docPr id="1350768616" name="Picture 2" descr="A blue and white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68616" name="Picture 2" descr="A blue and white 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La Oficina de Desarrollo Pastoral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sirve al obispo presidente y a la iglesia en general mediante la consulta para las elecciones de obispos, la resolución de conflictos que involucran a obispos, la admisión del Título IV en casos de presunta conducta indebida de obispos y otros asuntos pastorales según lo asignado por el obispo presidente.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71EC6F68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Conozca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al personal de la Oficina de Desarrollo Pastoral.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167ADCD9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Conozca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las directrices y el apoyo de la Iglesia Episcopal en casos relacionados con la conducta indebida del clero.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02773240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Obtenga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asesoría para las elecciones de obispos, el manejo de conflictos y las situaciones complicadas.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31CF6451" w14:textId="77777777" w:rsidR="00404438" w:rsidRPr="00C7589B" w:rsidRDefault="00404438" w:rsidP="00404438">
      <w:pPr>
        <w:spacing w:after="0" w:line="240" w:lineRule="auto"/>
        <w:textAlignment w:val="baseline"/>
        <w:rPr>
          <w:rFonts w:ascii="Garamond" w:hAnsi="Garamond"/>
          <w:b/>
          <w:bCs/>
          <w:noProof/>
          <w:sz w:val="23"/>
          <w:szCs w:val="23"/>
          <w:lang w:eastAsia="es"/>
        </w:rPr>
      </w:pPr>
    </w:p>
    <w:p w14:paraId="7C485190" w14:textId="5F278EC5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C7589B">
        <w:rPr>
          <w:rFonts w:ascii="Garamond" w:hAnsi="Garamond"/>
          <w:noProof/>
          <w:sz w:val="23"/>
          <w:szCs w:val="23"/>
          <w:lang w:val="es-ES" w:eastAsia="es"/>
        </w:rPr>
        <w:drawing>
          <wp:anchor distT="0" distB="0" distL="114300" distR="114300" simplePos="0" relativeHeight="251661312" behindDoc="0" locked="0" layoutInCell="1" allowOverlap="1" wp14:anchorId="1DBE551D" wp14:editId="15F8BF2B">
            <wp:simplePos x="0" y="0"/>
            <wp:positionH relativeFrom="column">
              <wp:posOffset>2789359</wp:posOffset>
            </wp:positionH>
            <wp:positionV relativeFrom="paragraph">
              <wp:posOffset>48455</wp:posOffset>
            </wp:positionV>
            <wp:extent cx="1143000" cy="1143000"/>
            <wp:effectExtent l="0" t="0" r="0" b="0"/>
            <wp:wrapSquare wrapText="bothSides"/>
            <wp:docPr id="698422830" name="Picture 3" descr="A qr cod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22830" name="Picture 3" descr="A qr code on a purpl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Guiados e inspirados por el contexto de Convertirse en la Amada Comunidad, los episcopales están tomando medidas intencionales para formar relaciones amorosas, liberadoras y vivificantes con Dios y entre nosotros, y para sanar y transformar la injusticia y el quebrantamiento en nosotros mismos, nuestras iglesias, comunidades, instituciones y la sociedad. Conozca nuestras iniciativas de </w:t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Reconciliación Racial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a continuación.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7D6E05DB" w14:textId="3101170D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n-US" w:eastAsia="es"/>
        </w:rPr>
        <w:t> </w:t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Participe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en el laberinto de “Convertirse en la Amada Comunidad”, nuestro marco para la transformación.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00E3AF34" w14:textId="2865A995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Decir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la verdad sobre nuestras iglesias, liderazgo, poder y raza, tanto en el pasado como en el presente.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39C50F1F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Proclamar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el sueño de la Amada Comunidad mediante la predicación, la oración y el testimonio público.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57E1D8B3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Practicar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el camino de la sanación a través de la formación, la peregrinación y la narración de historias antirracismo.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1F09F9D0" w14:textId="782C52A9" w:rsidR="002921F8" w:rsidRDefault="00404438" w:rsidP="00404438">
      <w:pPr>
        <w:spacing w:after="0" w:line="240" w:lineRule="auto"/>
        <w:textAlignment w:val="baseline"/>
        <w:rPr>
          <w:rFonts w:ascii="Garamond" w:hAnsi="Garamond"/>
          <w:b/>
          <w:bCs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Reparar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la brecha</w:t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mediante la justicia y la acción dirigida hacia la sociedad y las instituciones.</w:t>
      </w:r>
      <w:r w:rsidRPr="001C3440">
        <w:rPr>
          <w:rFonts w:ascii="Garamond" w:hAnsi="Garamond"/>
          <w:b/>
          <w:bCs/>
          <w:noProof/>
          <w:sz w:val="23"/>
          <w:szCs w:val="23"/>
          <w:lang w:val="en-US" w:eastAsia="es"/>
        </w:rPr>
        <w:t> </w:t>
      </w:r>
    </w:p>
    <w:p w14:paraId="4D96BD1F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Realice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prácticas en la Oficina de Relaciones Gubernamentales, que funciona durante tres ciclos al año, colaborando</w:t>
      </w: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 xml:space="preserve"> con </w:t>
      </w:r>
      <w:r w:rsidRPr="001C3440">
        <w:rPr>
          <w:rFonts w:ascii="Garamond" w:hAnsi="Garamond" w:cs="Segoe UI"/>
          <w:sz w:val="23"/>
          <w:szCs w:val="23"/>
          <w:lang w:val="es-ES"/>
        </w:rPr>
        <w:t>nuestros esfuerzos por dar forma a la política estadounidense e influir en ella.</w:t>
      </w: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 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2AE2288D" w14:textId="77777777" w:rsidR="00404438" w:rsidRDefault="00404438" w:rsidP="00404438">
      <w:pPr>
        <w:spacing w:after="0" w:line="240" w:lineRule="auto"/>
        <w:textAlignment w:val="baseline"/>
        <w:rPr>
          <w:rFonts w:ascii="Garamond" w:hAnsi="Garamond"/>
          <w:b/>
          <w:bCs/>
          <w:noProof/>
          <w:sz w:val="23"/>
          <w:szCs w:val="23"/>
          <w:lang w:val="es-ES" w:eastAsia="es"/>
        </w:rPr>
      </w:pPr>
    </w:p>
    <w:p w14:paraId="413A7E57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C7589B">
        <w:rPr>
          <w:rFonts w:ascii="Garamond" w:hAnsi="Garamond"/>
          <w:noProof/>
          <w:sz w:val="23"/>
          <w:szCs w:val="23"/>
          <w:lang w:val="es-ES" w:eastAsia="es"/>
        </w:rPr>
        <w:drawing>
          <wp:anchor distT="0" distB="0" distL="114300" distR="114300" simplePos="0" relativeHeight="251665408" behindDoc="0" locked="0" layoutInCell="1" allowOverlap="1" wp14:anchorId="431231AD" wp14:editId="2C088EAB">
            <wp:simplePos x="0" y="0"/>
            <wp:positionH relativeFrom="column">
              <wp:posOffset>2792730</wp:posOffset>
            </wp:positionH>
            <wp:positionV relativeFrom="paragraph">
              <wp:posOffset>29845</wp:posOffset>
            </wp:positionV>
            <wp:extent cx="1143000" cy="1143000"/>
            <wp:effectExtent l="0" t="0" r="0" b="0"/>
            <wp:wrapSquare wrapText="bothSides"/>
            <wp:docPr id="1903890844" name="Picture 2" descr="A blue and white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68616" name="Picture 2" descr="A blue and white 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La Oficina de Desarrollo Pastoral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sirve al obispo presidente y a la iglesia en general mediante la consulta para las elecciones de obispos, la resolución de conflictos que involucran a obispos, la admisión del Título IV en casos de presunta conducta indebida de obispos y otros asuntos pastorales según lo asignado por el obispo presidente.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7C0DB6A1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Conozca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al personal de la Oficina de Desarrollo Pastoral.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35243553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Conozca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las directrices y el apoyo de la Iglesia Episcopal en casos relacionados con la conducta indebida del clero.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491E8E23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Obtenga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asesoría para las elecciones de obispos, el manejo de conflictos y las situaciones complicadas.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343FBE84" w14:textId="77777777" w:rsidR="00404438" w:rsidRPr="00C7589B" w:rsidRDefault="00404438" w:rsidP="00404438">
      <w:pPr>
        <w:spacing w:after="0" w:line="240" w:lineRule="auto"/>
        <w:textAlignment w:val="baseline"/>
        <w:rPr>
          <w:rFonts w:ascii="Garamond" w:hAnsi="Garamond"/>
          <w:b/>
          <w:bCs/>
          <w:noProof/>
          <w:sz w:val="23"/>
          <w:szCs w:val="23"/>
          <w:lang w:eastAsia="es"/>
        </w:rPr>
      </w:pPr>
    </w:p>
    <w:p w14:paraId="0C7C93B7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C7589B">
        <w:rPr>
          <w:rFonts w:ascii="Garamond" w:hAnsi="Garamond"/>
          <w:noProof/>
          <w:sz w:val="23"/>
          <w:szCs w:val="23"/>
          <w:lang w:val="es-ES" w:eastAsia="es"/>
        </w:rPr>
        <w:drawing>
          <wp:anchor distT="0" distB="0" distL="114300" distR="114300" simplePos="0" relativeHeight="251666432" behindDoc="0" locked="0" layoutInCell="1" allowOverlap="1" wp14:anchorId="5F560146" wp14:editId="017BBB64">
            <wp:simplePos x="0" y="0"/>
            <wp:positionH relativeFrom="column">
              <wp:posOffset>2789359</wp:posOffset>
            </wp:positionH>
            <wp:positionV relativeFrom="paragraph">
              <wp:posOffset>48455</wp:posOffset>
            </wp:positionV>
            <wp:extent cx="1143000" cy="1143000"/>
            <wp:effectExtent l="0" t="0" r="0" b="0"/>
            <wp:wrapSquare wrapText="bothSides"/>
            <wp:docPr id="76427035" name="Picture 3" descr="A qr cod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22830" name="Picture 3" descr="A qr code on a purpl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Guiados e inspirados por el contexto de Convertirse en la Amada Comunidad, los episcopales están tomando medidas intencionales para formar relaciones amorosas, liberadoras y vivificantes con Dios y entre nosotros, y para sanar y transformar la injusticia y el quebrantamiento en nosotros mismos, nuestras iglesias, comunidades, instituciones y la sociedad. Conozca nuestras iniciativas de </w:t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Reconciliación Racial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a continuación.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223B8B14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n-US" w:eastAsia="es"/>
        </w:rPr>
        <w:t> </w:t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Participe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en el laberinto de “Convertirse en la Amada Comunidad”, nuestro marco para la transformación.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61534F90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Decir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la verdad sobre nuestras iglesias, liderazgo, poder y raza, tanto en el pasado como en el presente.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54202439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Proclamar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el sueño de la Amada Comunidad mediante la predicación, la oración y el testimonio público.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701A8189" w14:textId="77777777" w:rsidR="00404438" w:rsidRPr="001C3440" w:rsidRDefault="00404438" w:rsidP="00404438">
      <w:pPr>
        <w:spacing w:after="0" w:line="240" w:lineRule="auto"/>
        <w:textAlignment w:val="baseline"/>
        <w:rPr>
          <w:rFonts w:ascii="Garamond" w:hAnsi="Garamond"/>
          <w:noProof/>
          <w:sz w:val="23"/>
          <w:szCs w:val="23"/>
          <w:lang w:val="en-US"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Practicar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el camino de la sanación a través de la formación, la peregrinación y la narración de historias antirracismo.</w:t>
      </w:r>
      <w:r w:rsidRPr="001C3440">
        <w:rPr>
          <w:rFonts w:ascii="Garamond" w:hAnsi="Garamond"/>
          <w:noProof/>
          <w:sz w:val="23"/>
          <w:szCs w:val="23"/>
          <w:lang w:val="en-US" w:eastAsia="es"/>
        </w:rPr>
        <w:t> </w:t>
      </w:r>
    </w:p>
    <w:p w14:paraId="59CC0B75" w14:textId="02D0A075" w:rsidR="00404438" w:rsidRPr="00404438" w:rsidRDefault="00404438" w:rsidP="00404438">
      <w:pPr>
        <w:spacing w:after="0" w:line="240" w:lineRule="auto"/>
        <w:textAlignment w:val="baseline"/>
        <w:rPr>
          <w:rFonts w:ascii="Garamond" w:hAnsi="Garamond"/>
          <w:b/>
          <w:bCs/>
          <w:noProof/>
          <w:sz w:val="23"/>
          <w:szCs w:val="23"/>
          <w:lang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Reparar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la brecha</w:t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mediante la justicia y la acción dirigida hacia la sociedad y las instituciones.</w:t>
      </w:r>
      <w:r w:rsidRPr="001C3440">
        <w:rPr>
          <w:rFonts w:ascii="Garamond" w:hAnsi="Garamond"/>
          <w:b/>
          <w:bCs/>
          <w:noProof/>
          <w:sz w:val="23"/>
          <w:szCs w:val="23"/>
          <w:lang w:val="en-US" w:eastAsia="es"/>
        </w:rPr>
        <w:t> </w:t>
      </w:r>
    </w:p>
    <w:sectPr w:rsidR="00404438" w:rsidRPr="00404438" w:rsidSect="00FB2F70">
      <w:footerReference w:type="default" r:id="rId11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00F0" w14:textId="77777777" w:rsidR="00747260" w:rsidRDefault="00747260" w:rsidP="005040FC">
      <w:r>
        <w:separator/>
      </w:r>
    </w:p>
  </w:endnote>
  <w:endnote w:type="continuationSeparator" w:id="0">
    <w:p w14:paraId="72C1C81C" w14:textId="77777777" w:rsidR="00747260" w:rsidRDefault="00747260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2D9499EF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4552" w14:textId="77777777" w:rsidR="00747260" w:rsidRDefault="00747260" w:rsidP="005040FC">
      <w:r>
        <w:separator/>
      </w:r>
    </w:p>
  </w:footnote>
  <w:footnote w:type="continuationSeparator" w:id="0">
    <w:p w14:paraId="29E1853D" w14:textId="77777777" w:rsidR="00747260" w:rsidRDefault="00747260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6"/>
  </w:num>
  <w:num w:numId="3" w16cid:durableId="1540705237">
    <w:abstractNumId w:val="3"/>
  </w:num>
  <w:num w:numId="4" w16cid:durableId="733234300">
    <w:abstractNumId w:val="20"/>
  </w:num>
  <w:num w:numId="5" w16cid:durableId="323897012">
    <w:abstractNumId w:val="5"/>
  </w:num>
  <w:num w:numId="6" w16cid:durableId="417992175">
    <w:abstractNumId w:val="22"/>
  </w:num>
  <w:num w:numId="7" w16cid:durableId="776415095">
    <w:abstractNumId w:val="8"/>
  </w:num>
  <w:num w:numId="8" w16cid:durableId="913245787">
    <w:abstractNumId w:val="14"/>
  </w:num>
  <w:num w:numId="9" w16cid:durableId="1310591580">
    <w:abstractNumId w:val="6"/>
  </w:num>
  <w:num w:numId="10" w16cid:durableId="1926570844">
    <w:abstractNumId w:val="11"/>
  </w:num>
  <w:num w:numId="11" w16cid:durableId="1006324194">
    <w:abstractNumId w:val="15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7"/>
  </w:num>
  <w:num w:numId="17" w16cid:durableId="1224020728">
    <w:abstractNumId w:val="18"/>
  </w:num>
  <w:num w:numId="18" w16cid:durableId="644548409">
    <w:abstractNumId w:val="4"/>
  </w:num>
  <w:num w:numId="19" w16cid:durableId="1644968002">
    <w:abstractNumId w:val="21"/>
  </w:num>
  <w:num w:numId="20" w16cid:durableId="1669168390">
    <w:abstractNumId w:val="23"/>
  </w:num>
  <w:num w:numId="21" w16cid:durableId="222759561">
    <w:abstractNumId w:val="24"/>
  </w:num>
  <w:num w:numId="22" w16cid:durableId="102002438">
    <w:abstractNumId w:val="12"/>
  </w:num>
  <w:num w:numId="23" w16cid:durableId="284775799">
    <w:abstractNumId w:val="19"/>
  </w:num>
  <w:num w:numId="24" w16cid:durableId="30882937">
    <w:abstractNumId w:val="10"/>
  </w:num>
  <w:num w:numId="25" w16cid:durableId="69719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74CA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C5CA7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55133"/>
    <w:rsid w:val="00181B27"/>
    <w:rsid w:val="00187CCD"/>
    <w:rsid w:val="00197DC4"/>
    <w:rsid w:val="001B2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654A4"/>
    <w:rsid w:val="00275099"/>
    <w:rsid w:val="00276726"/>
    <w:rsid w:val="00277644"/>
    <w:rsid w:val="00290470"/>
    <w:rsid w:val="002921F8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21B81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150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38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71422"/>
    <w:rsid w:val="00575CFC"/>
    <w:rsid w:val="0058412D"/>
    <w:rsid w:val="005A0A97"/>
    <w:rsid w:val="005A47CC"/>
    <w:rsid w:val="005A5A36"/>
    <w:rsid w:val="005A6C9B"/>
    <w:rsid w:val="005B01B4"/>
    <w:rsid w:val="005B2D16"/>
    <w:rsid w:val="005B6648"/>
    <w:rsid w:val="005B6C32"/>
    <w:rsid w:val="005C1412"/>
    <w:rsid w:val="005C31F7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6E67FC"/>
    <w:rsid w:val="006E7055"/>
    <w:rsid w:val="00705A4E"/>
    <w:rsid w:val="00707439"/>
    <w:rsid w:val="007157BA"/>
    <w:rsid w:val="00720D72"/>
    <w:rsid w:val="00723C24"/>
    <w:rsid w:val="00731E51"/>
    <w:rsid w:val="007342AE"/>
    <w:rsid w:val="00743068"/>
    <w:rsid w:val="00745189"/>
    <w:rsid w:val="00745B12"/>
    <w:rsid w:val="00747260"/>
    <w:rsid w:val="007634DA"/>
    <w:rsid w:val="00771BA8"/>
    <w:rsid w:val="0078084E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01BD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B0669"/>
    <w:rsid w:val="008C042E"/>
    <w:rsid w:val="008E2805"/>
    <w:rsid w:val="008F7ABC"/>
    <w:rsid w:val="009156DE"/>
    <w:rsid w:val="00916DE1"/>
    <w:rsid w:val="0092601A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4251"/>
    <w:rsid w:val="009A7397"/>
    <w:rsid w:val="009B1F0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0FC2"/>
    <w:rsid w:val="00AA51E0"/>
    <w:rsid w:val="00AB6F91"/>
    <w:rsid w:val="00AB7248"/>
    <w:rsid w:val="00AD1CD3"/>
    <w:rsid w:val="00AE25C7"/>
    <w:rsid w:val="00AE7BD0"/>
    <w:rsid w:val="00AE7BE6"/>
    <w:rsid w:val="00AF0737"/>
    <w:rsid w:val="00AF6167"/>
    <w:rsid w:val="00AF64F8"/>
    <w:rsid w:val="00AF7FC9"/>
    <w:rsid w:val="00B014D7"/>
    <w:rsid w:val="00B01E63"/>
    <w:rsid w:val="00B1638B"/>
    <w:rsid w:val="00B241AF"/>
    <w:rsid w:val="00B2490E"/>
    <w:rsid w:val="00B249B0"/>
    <w:rsid w:val="00B42A60"/>
    <w:rsid w:val="00B42E07"/>
    <w:rsid w:val="00B516C0"/>
    <w:rsid w:val="00B530C5"/>
    <w:rsid w:val="00B63849"/>
    <w:rsid w:val="00B7156C"/>
    <w:rsid w:val="00B80316"/>
    <w:rsid w:val="00B813CD"/>
    <w:rsid w:val="00B82C4C"/>
    <w:rsid w:val="00B902FE"/>
    <w:rsid w:val="00B907C0"/>
    <w:rsid w:val="00BA0B74"/>
    <w:rsid w:val="00BA337C"/>
    <w:rsid w:val="00BB1F68"/>
    <w:rsid w:val="00BC351D"/>
    <w:rsid w:val="00BF0FBC"/>
    <w:rsid w:val="00BF20E2"/>
    <w:rsid w:val="00BF59E2"/>
    <w:rsid w:val="00BF7A3C"/>
    <w:rsid w:val="00C0753F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86A6F"/>
    <w:rsid w:val="00C86AC5"/>
    <w:rsid w:val="00C921BB"/>
    <w:rsid w:val="00C92B72"/>
    <w:rsid w:val="00C94763"/>
    <w:rsid w:val="00C9600D"/>
    <w:rsid w:val="00CB3010"/>
    <w:rsid w:val="00CC103A"/>
    <w:rsid w:val="00CC27DA"/>
    <w:rsid w:val="00CC2C83"/>
    <w:rsid w:val="00CC36E0"/>
    <w:rsid w:val="00CC7769"/>
    <w:rsid w:val="00CE2A01"/>
    <w:rsid w:val="00CE5C23"/>
    <w:rsid w:val="00CE6CB2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B7431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C37A7"/>
    <w:rsid w:val="00ED2693"/>
    <w:rsid w:val="00EE479A"/>
    <w:rsid w:val="00EE6130"/>
    <w:rsid w:val="00EE69DA"/>
    <w:rsid w:val="00EF221A"/>
    <w:rsid w:val="00F01DAC"/>
    <w:rsid w:val="00F07A5D"/>
    <w:rsid w:val="00F10BF6"/>
    <w:rsid w:val="00F245A5"/>
    <w:rsid w:val="00F24A3B"/>
    <w:rsid w:val="00F37EFA"/>
    <w:rsid w:val="00F4346C"/>
    <w:rsid w:val="00F50DF4"/>
    <w:rsid w:val="00F53567"/>
    <w:rsid w:val="00F540B1"/>
    <w:rsid w:val="00F540DB"/>
    <w:rsid w:val="00F548B5"/>
    <w:rsid w:val="00F60535"/>
    <w:rsid w:val="00F62B4B"/>
    <w:rsid w:val="00F814A0"/>
    <w:rsid w:val="00F81D57"/>
    <w:rsid w:val="00F92A12"/>
    <w:rsid w:val="00F960B9"/>
    <w:rsid w:val="00FA1DC5"/>
    <w:rsid w:val="00FA33E2"/>
    <w:rsid w:val="00FB2F70"/>
    <w:rsid w:val="00FC2594"/>
    <w:rsid w:val="00FC2980"/>
    <w:rsid w:val="00FC71F8"/>
    <w:rsid w:val="00FD394C"/>
    <w:rsid w:val="00FD45E6"/>
    <w:rsid w:val="00FD7665"/>
    <w:rsid w:val="00FD7C5E"/>
    <w:rsid w:val="00FE1B13"/>
    <w:rsid w:val="00FE6B5A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6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13</cp:revision>
  <cp:lastPrinted>2024-05-15T19:31:00Z</cp:lastPrinted>
  <dcterms:created xsi:type="dcterms:W3CDTF">2024-05-15T19:31:00Z</dcterms:created>
  <dcterms:modified xsi:type="dcterms:W3CDTF">2024-06-10T19:35:00Z</dcterms:modified>
</cp:coreProperties>
</file>